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PROGRAM VIII OGÓLNOPOLSKIEGO ZJAZDU PSFO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13-15.04.2018,  Hotel Andel’s, Łódź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PIĄTEK 13.04.2018</w:t>
      </w:r>
    </w:p>
    <w:tbl>
      <w:tblPr>
        <w:tblStyle w:val="Tabela-Siatka"/>
        <w:tblW w:w="10569" w:type="dxa"/>
        <w:jc w:val="left"/>
        <w:tblInd w:w="-75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6"/>
        <w:gridCol w:w="5681"/>
        <w:gridCol w:w="3482"/>
      </w:tblGrid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WYKŁADOWCA </w:t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14:00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Rejestracja uczestników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15:00-16:40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CEREMONIA OTWARCIA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Uroczyste otwarcie Zjazdu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15:10-15:40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Wystąpienia zaproszonych Gości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15:40-16:40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Wykład na otwarcie „Opowieść o mieście Łódź”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Ryszard Bonisławski, Senator RP</w:t>
            </w:r>
          </w:p>
        </w:tc>
      </w:tr>
      <w:tr>
        <w:trPr/>
        <w:tc>
          <w:tcPr>
            <w:tcW w:w="10569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„Radiofarmacja – nowe wyzwanie farmaceuty szpitalnego” cz. I</w:t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16:45-17:30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646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"Techniki medycyny nuklearnej"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dr Mariusz Gadzicki</w:t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17:30-17:45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PRZERWA KAWOWA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17:45-18:30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"Historia PET"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dr  Magdalena Górska-Chrząstek</w:t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18:30-19:15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"Zastosowanie FDG"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dr Iwona Raciborska</w:t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20:00</w:t>
            </w:r>
          </w:p>
        </w:tc>
        <w:tc>
          <w:tcPr>
            <w:tcW w:w="56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Kolacja</w:t>
            </w:r>
          </w:p>
        </w:tc>
        <w:tc>
          <w:tcPr>
            <w:tcW w:w="3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bookmarkStart w:id="0" w:name="__DdeLink__307_373841157"/>
            <w:bookmarkEnd w:id="0"/>
            <w:r>
              <w:rPr>
                <w:sz w:val="24"/>
                <w:szCs w:val="24"/>
              </w:rPr>
              <w:t>Hotel Andel’s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SOBOTA 14.04.2018</w:t>
      </w:r>
    </w:p>
    <w:tbl>
      <w:tblPr>
        <w:tblStyle w:val="Tabela-Siatka"/>
        <w:tblW w:w="10490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5670"/>
        <w:gridCol w:w="3402"/>
      </w:tblGrid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WYKŁADOWCA </w:t>
            </w:r>
          </w:p>
        </w:tc>
      </w:tr>
      <w:tr>
        <w:trPr/>
        <w:tc>
          <w:tcPr>
            <w:tcW w:w="1049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„Radiofarmacja – nowe wyzwanie farmaceuty szpitalnego” cz. II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08:15-09:00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" Medycyna nuklearna od iniekcji do diagnozy"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prof. n.med. Jacek Kuśmierek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"Przegląd radiofarmaceutyków stosowanych w medycynie nuklearnej"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dr Krzysztof Kacprzak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10:30-11:15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" Pracownia radiofarmacji, prawo w niej obowiązujące” cz. I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dr Janusz Kapuściński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11:15-11:45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PRZERWA KAWOWA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11:45-12:30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" Pracownia radiofarmacji, prawo w niej obowiązujące” cz. II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dr Janusz Kapuściński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12:30-14:00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„</w:t>
            </w:r>
            <w:bookmarkStart w:id="1" w:name="_GoBack"/>
            <w:bookmarkEnd w:id="1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Rola farmaceuty szpitalnego w pracy z izotopami promieniotwórczymi”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prof. n farm. Paweł Szymański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</w:t>
            </w:r>
            <w:r>
              <w:rPr>
                <w:rFonts w:cs="Times New Roman"/>
                <w:sz w:val="24"/>
                <w:szCs w:val="24"/>
              </w:rPr>
              <w:t>Rozwiązywanie problemów w życiu zawodowym”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Danuta Jacoń-Chmielewska 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16:00-16:30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"Opieka farmaceutyczna nad pacjentem hematologicznym na przykładzie terapii pixantronem u pacjentów z chłoniakiem z dużych komórek B" 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dr n.med. Tomasz Ogórka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16:30-16:45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PRZERWA KAWOWA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16:45-17:30</w:t>
            </w:r>
          </w:p>
        </w:tc>
        <w:tc>
          <w:tcPr>
            <w:tcW w:w="5670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>Leki biopodobne - aspekty prawne”</w:t>
            </w:r>
          </w:p>
        </w:tc>
        <w:tc>
          <w:tcPr>
            <w:tcW w:w="3402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mecenas Monika Duszyńska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231" w:leader="none"/>
              </w:tabs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Podstawowe informacje o lekach biopodobnych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farm. Jerzy Łazowski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18:00-18:45</w:t>
            </w:r>
          </w:p>
        </w:tc>
        <w:tc>
          <w:tcPr>
            <w:tcW w:w="56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34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18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20:00</w:t>
            </w:r>
          </w:p>
        </w:tc>
        <w:tc>
          <w:tcPr>
            <w:tcW w:w="5670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Uroczysta Kolacja</w:t>
            </w:r>
          </w:p>
        </w:tc>
        <w:tc>
          <w:tcPr>
            <w:tcW w:w="3402" w:type="dxa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Andel’s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NIEDZIELA 15.04.2018</w:t>
      </w:r>
    </w:p>
    <w:tbl>
      <w:tblPr>
        <w:tblStyle w:val="Tabela-Siatka"/>
        <w:tblW w:w="10285" w:type="dxa"/>
        <w:jc w:val="left"/>
        <w:tblInd w:w="-6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6"/>
        <w:gridCol w:w="5682"/>
        <w:gridCol w:w="3197"/>
      </w:tblGrid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GODZ.</w:t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TEMAT</w:t>
            </w:r>
          </w:p>
        </w:tc>
        <w:tc>
          <w:tcPr>
            <w:tcW w:w="31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WYKŁADOWCA </w:t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Doniesienia uczestników</w:t>
            </w:r>
          </w:p>
        </w:tc>
        <w:tc>
          <w:tcPr>
            <w:tcW w:w="31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Rozstrzygnięcie konkursu, rozdanie nagród</w:t>
            </w:r>
          </w:p>
        </w:tc>
        <w:tc>
          <w:tcPr>
            <w:tcW w:w="31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kursu</w:t>
            </w:r>
          </w:p>
        </w:tc>
        <w:tc>
          <w:tcPr>
            <w:tcW w:w="31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Podsumowanie Zjazdu</w:t>
            </w:r>
          </w:p>
        </w:tc>
        <w:tc>
          <w:tcPr>
            <w:tcW w:w="31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4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56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31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Autospacing="1" w:after="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e58e5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e244b0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855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8554c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4855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855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849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3E555-A063-47E0-8CD6-B96D5D7C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LibreOffice/5.2.5.1$Windows_x86 LibreOffice_project/0312e1a284a7d50ca85a365c316c7abbf20a4d22</Application>
  <Pages>2</Pages>
  <Words>235</Words>
  <Characters>1719</Characters>
  <CharactersWithSpaces>1877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2018-01-24T16:33:00Z</dcterms:created>
  <dc:creator>Teresa</dc:creator>
  <dc:description/>
  <dc:language>pl-PL</dc:language>
  <cp:lastModifiedBy/>
  <cp:lastPrinted>2017-03-23T18:22:00Z</cp:lastPrinted>
  <dcterms:modified xsi:type="dcterms:W3CDTF">2018-03-28T13:10:52Z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